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9sd4lvkoztdt" w:id="0"/>
      <w:bookmarkEnd w:id="0"/>
      <w:r w:rsidDel="00000000" w:rsidR="00000000" w:rsidRPr="00000000">
        <w:rPr>
          <w:b w:val="1"/>
          <w:bCs w:val="1"/>
          <w:rtl w:val="0"/>
        </w:rPr>
        <w:t xml:space="preserve">RFP F-05-2026-F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Додаток 5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3"/>
        <w:gridCol w:w="1454"/>
        <w:gridCol w:w="324"/>
        <w:gridCol w:w="2328"/>
        <w:gridCol w:w="399"/>
        <w:gridCol w:w="2906"/>
        <w:tblGridChange w:id="0">
          <w:tblGrid>
            <w:gridCol w:w="1943"/>
            <w:gridCol w:w="1454"/>
            <w:gridCol w:w="324"/>
            <w:gridCol w:w="2328"/>
            <w:gridCol w:w="399"/>
            <w:gridCol w:w="2906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76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113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D9239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qMBb2LslHBI/bSf06KS+iMFBsw==">CgMxLjAyDmguOXNkNGx2a296dGR0OAByITFsSjdhUk9sT0haMjFiWGxzRFdNNkFKTTRZTnlZemIxNw==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2026-01-30T09:29:00Z</dcterms:created>
  <dc:creator>STA PM</dc:creator>
</cp:coreProperties>
</file>