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-455929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RFQ-GIZ-10-2026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«29» травня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 надання послуг спеціаліста з логістики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логістики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1D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1E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1F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-454659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36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RFQ-GIZ-10-2026 dated May 29,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of regional coordinator services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tbl>
      <w:tblPr>
        <w:tblStyle w:val="Table3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Provision of regional coordinator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4A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4B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4C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OQca3sKSXhaLtk7b1rqsin3eA==">CgMxLjA4AHIhMUhVTmRibE5UdXFNNS1qSUQ5Ylg3eWRYdmVpZDI5OFZW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